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77D" w:rsidRPr="007B57B4" w:rsidRDefault="0021477D" w:rsidP="0021477D">
      <w:pPr>
        <w:pStyle w:val="Default"/>
        <w:spacing w:line="276" w:lineRule="auto"/>
        <w:rPr>
          <w:bCs/>
        </w:rPr>
      </w:pPr>
      <w:r w:rsidRPr="007B57B4">
        <w:rPr>
          <w:bCs/>
        </w:rPr>
        <w:t>From “A Plea for Excuses” by J. L. Austin (1956)</w:t>
      </w:r>
    </w:p>
    <w:p w:rsidR="0021477D" w:rsidRPr="007B57B4" w:rsidRDefault="0021477D" w:rsidP="0021477D">
      <w:pPr>
        <w:pStyle w:val="Default"/>
        <w:spacing w:line="276" w:lineRule="auto"/>
        <w:rPr>
          <w:bCs/>
        </w:rPr>
      </w:pPr>
    </w:p>
    <w:p w:rsidR="003C1D29" w:rsidRPr="007B57B4" w:rsidRDefault="0021477D" w:rsidP="007B57B4">
      <w:pPr>
        <w:pStyle w:val="Default"/>
        <w:spacing w:line="276" w:lineRule="auto"/>
        <w:ind w:firstLine="720"/>
        <w:rPr>
          <w:bCs/>
        </w:rPr>
      </w:pPr>
      <w:r w:rsidRPr="007B57B4">
        <w:rPr>
          <w:bCs/>
        </w:rPr>
        <w:t xml:space="preserve"> </w:t>
      </w:r>
      <w:r w:rsidRPr="007B57B4">
        <w:rPr>
          <w:bCs/>
        </w:rPr>
        <w:t xml:space="preserve">In ethics we study, I suppose, the good and the bad, the right and the wrong, and this must be for the most part in some </w:t>
      </w:r>
      <w:proofErr w:type="spellStart"/>
      <w:r w:rsidRPr="007B57B4">
        <w:rPr>
          <w:bCs/>
        </w:rPr>
        <w:t>connexion</w:t>
      </w:r>
      <w:proofErr w:type="spellEnd"/>
      <w:r w:rsidRPr="007B57B4">
        <w:rPr>
          <w:bCs/>
        </w:rPr>
        <w:t xml:space="preserve"> with conduct or the doing of ac</w:t>
      </w:r>
      <w:r w:rsidRPr="007B57B4">
        <w:rPr>
          <w:bCs/>
        </w:rPr>
        <w:t>tions. Yet before we consider w</w:t>
      </w:r>
      <w:r w:rsidRPr="007B57B4">
        <w:rPr>
          <w:bCs/>
        </w:rPr>
        <w:t xml:space="preserve">hat actions are good or bad, right or wrong, it is proper to consider first what is meant by, and what not, and what is included under, and what not, the expression </w:t>
      </w:r>
      <w:proofErr w:type="gramStart"/>
      <w:r w:rsidRPr="007B57B4">
        <w:rPr>
          <w:bCs/>
        </w:rPr>
        <w:t>" doing</w:t>
      </w:r>
      <w:proofErr w:type="gramEnd"/>
      <w:r w:rsidRPr="007B57B4">
        <w:rPr>
          <w:bCs/>
        </w:rPr>
        <w:t xml:space="preserve"> an action" or " doing something ". These are expressions still too little examined on their own account and merits, </w:t>
      </w:r>
      <w:r w:rsidRPr="007B57B4">
        <w:rPr>
          <w:bCs/>
        </w:rPr>
        <w:t>just as the general notion of “</w:t>
      </w:r>
      <w:r w:rsidRPr="007B57B4">
        <w:rPr>
          <w:bCs/>
        </w:rPr>
        <w:t xml:space="preserve">saying something" is still too lightly passed over in logic. There is indeed a vague and comforting idea in the background that, after all, in the last analysis, doing an action must come down to the making of physical movements with parts of the body; but this is about as true as that saying something must, in the last analysis, come down to making movements of the tongue. </w:t>
      </w:r>
    </w:p>
    <w:p w:rsidR="003C1D29" w:rsidRPr="007B57B4" w:rsidRDefault="0021477D" w:rsidP="007B57B4">
      <w:pPr>
        <w:pStyle w:val="Default"/>
        <w:spacing w:line="276" w:lineRule="auto"/>
        <w:ind w:firstLine="720"/>
        <w:rPr>
          <w:bCs/>
        </w:rPr>
      </w:pPr>
      <w:r w:rsidRPr="007B57B4">
        <w:rPr>
          <w:bCs/>
        </w:rPr>
        <w:t xml:space="preserve">The beginning of sense, not to say wisdom, is to </w:t>
      </w:r>
      <w:proofErr w:type="spellStart"/>
      <w:r w:rsidRPr="007B57B4">
        <w:rPr>
          <w:bCs/>
        </w:rPr>
        <w:t>realise</w:t>
      </w:r>
      <w:proofErr w:type="spellEnd"/>
      <w:r w:rsidRPr="007B57B4">
        <w:rPr>
          <w:bCs/>
        </w:rPr>
        <w:t xml:space="preserve"> that "doing an </w:t>
      </w:r>
      <w:r w:rsidRPr="007B57B4">
        <w:rPr>
          <w:bCs/>
        </w:rPr>
        <w:t>action", as used in philosophy,</w:t>
      </w:r>
      <w:r w:rsidRPr="007B57B4">
        <w:rPr>
          <w:rStyle w:val="FootnoteReference"/>
          <w:bCs/>
        </w:rPr>
        <w:footnoteReference w:id="1"/>
      </w:r>
      <w:r w:rsidRPr="007B57B4">
        <w:rPr>
          <w:bCs/>
        </w:rPr>
        <w:t xml:space="preserve"> </w:t>
      </w:r>
      <w:r w:rsidRPr="007B57B4">
        <w:rPr>
          <w:bCs/>
        </w:rPr>
        <w:t xml:space="preserve">is a highly abstract expression -- </w:t>
      </w:r>
      <w:r w:rsidRPr="007B57B4">
        <w:rPr>
          <w:bCs/>
        </w:rPr>
        <w:t>it is a stand-in used in the place of any (or almost any?) verb with a personal subject, in the same sort of way that " thing " is a stand-in for any (or when we remember, almost any) noun substantive, and "quality " a stand-in for the adjective. Nobody, to be sure, relies on such dummies quite implicitly quite indefinitely. Yet notoriously it is possible to arrive at, or to derive the idea for, an over-simplified metaph</w:t>
      </w:r>
      <w:r w:rsidRPr="007B57B4">
        <w:rPr>
          <w:bCs/>
        </w:rPr>
        <w:t>ysics from the obsession with "</w:t>
      </w:r>
      <w:proofErr w:type="gramStart"/>
      <w:r w:rsidRPr="007B57B4">
        <w:rPr>
          <w:bCs/>
        </w:rPr>
        <w:t>things "</w:t>
      </w:r>
      <w:proofErr w:type="gramEnd"/>
      <w:r w:rsidRPr="007B57B4">
        <w:rPr>
          <w:bCs/>
        </w:rPr>
        <w:t xml:space="preserve"> and their " qualities ". In a similar way, less commonly </w:t>
      </w:r>
      <w:proofErr w:type="spellStart"/>
      <w:r w:rsidRPr="007B57B4">
        <w:rPr>
          <w:bCs/>
        </w:rPr>
        <w:t>recognised</w:t>
      </w:r>
      <w:proofErr w:type="spellEnd"/>
      <w:r w:rsidRPr="007B57B4">
        <w:rPr>
          <w:bCs/>
        </w:rPr>
        <w:t xml:space="preserve"> even in these semi-sophisticated times, we fall for the myth of the verb. We treat the expression " doing an action " no longer as a stand-in for a verb with a personal subject, as which it has no doubt some uses, and might have more if the range of verbs were not left un-specified, but as a self-explanatory, ground-level description, one which brings adequatel</w:t>
      </w:r>
      <w:r w:rsidRPr="007B57B4">
        <w:rPr>
          <w:bCs/>
        </w:rPr>
        <w:t xml:space="preserve">y into the open the essential </w:t>
      </w:r>
      <w:r w:rsidRPr="007B57B4">
        <w:rPr>
          <w:bCs/>
        </w:rPr>
        <w:t xml:space="preserve">features of everything that comes, by simple inspection, under it. We scarcely notice even the most patent </w:t>
      </w:r>
      <w:proofErr w:type="spellStart"/>
      <w:r w:rsidRPr="007B57B4">
        <w:rPr>
          <w:bCs/>
        </w:rPr>
        <w:t>excep-tions</w:t>
      </w:r>
      <w:proofErr w:type="spellEnd"/>
      <w:r w:rsidRPr="007B57B4">
        <w:rPr>
          <w:bCs/>
        </w:rPr>
        <w:t xml:space="preserve"> or difficulties (is to think something, or to say some-thing, or to try to do something, to do an action?), any more than we fret, in the </w:t>
      </w:r>
      <w:proofErr w:type="spellStart"/>
      <w:r w:rsidRPr="007B57B4">
        <w:rPr>
          <w:bCs/>
        </w:rPr>
        <w:t>ivresse</w:t>
      </w:r>
      <w:proofErr w:type="spellEnd"/>
      <w:r w:rsidRPr="007B57B4">
        <w:rPr>
          <w:bCs/>
        </w:rPr>
        <w:t xml:space="preserve"> des </w:t>
      </w:r>
      <w:proofErr w:type="spellStart"/>
      <w:r w:rsidRPr="007B57B4">
        <w:rPr>
          <w:bCs/>
        </w:rPr>
        <w:t>grandes</w:t>
      </w:r>
      <w:proofErr w:type="spellEnd"/>
      <w:r w:rsidRPr="007B57B4">
        <w:rPr>
          <w:bCs/>
        </w:rPr>
        <w:t xml:space="preserve"> </w:t>
      </w:r>
      <w:proofErr w:type="spellStart"/>
      <w:r w:rsidRPr="007B57B4">
        <w:rPr>
          <w:bCs/>
        </w:rPr>
        <w:t>profondeurs</w:t>
      </w:r>
      <w:proofErr w:type="spellEnd"/>
      <w:r w:rsidRPr="007B57B4">
        <w:rPr>
          <w:bCs/>
        </w:rPr>
        <w:t xml:space="preserve">, as to whether flames are things or events. So we come easily to think of our </w:t>
      </w:r>
      <w:proofErr w:type="spellStart"/>
      <w:r w:rsidRPr="007B57B4">
        <w:rPr>
          <w:bCs/>
        </w:rPr>
        <w:t>behaviour</w:t>
      </w:r>
      <w:proofErr w:type="spellEnd"/>
      <w:r w:rsidRPr="007B57B4">
        <w:rPr>
          <w:bCs/>
        </w:rPr>
        <w:t xml:space="preserve"> over any time, and of a life as a whole, as consisting in doing now action A, next action B, then action C, and so on, just as elsewhere we come to think of the world as consisting of this, that and the other substance or material thing, each with its properties. All " actions " are, as actions (meaning what?), equal, composing a quarrel with striking a match, winning a war with sneezing: worse still, we assimilate them one and all to the supposedly most obvious and easy cases, such as posting letters or moving fingers, just as we assimilate all " things " to horses or beds. </w:t>
      </w:r>
    </w:p>
    <w:p w:rsidR="003C1D29" w:rsidRPr="007B57B4" w:rsidRDefault="003C1D29" w:rsidP="007B57B4">
      <w:pPr>
        <w:pStyle w:val="Default"/>
        <w:spacing w:line="276" w:lineRule="auto"/>
        <w:ind w:firstLine="720"/>
        <w:rPr>
          <w:bCs/>
        </w:rPr>
      </w:pPr>
      <w:r w:rsidRPr="007B57B4">
        <w:rPr>
          <w:bCs/>
        </w:rPr>
        <w:t xml:space="preserve">If we are to continue to use this expression in sober philosophy, we need to ask such questions as: Is to sneeze to do an action? Or is to breathe, or to see, or to checkmate, or each one of countless others? In short, for what range of verbs, as used on what occasions, is "doing an action" a stand-in? What have they in common, and what do those excluded severally lack? </w:t>
      </w:r>
      <w:r w:rsidRPr="007B57B4">
        <w:rPr>
          <w:bCs/>
        </w:rPr>
        <w:lastRenderedPageBreak/>
        <w:t xml:space="preserve">Again we need to ask how we decide what is the correct name for "the" action that somebody did-and what, indeed, are the rules for the use of "the" action, "an” action, "one” action, a “part” or "phase" of an action and the like. Further, we need to </w:t>
      </w:r>
      <w:proofErr w:type="spellStart"/>
      <w:r w:rsidRPr="007B57B4">
        <w:rPr>
          <w:bCs/>
        </w:rPr>
        <w:t>realise</w:t>
      </w:r>
      <w:proofErr w:type="spellEnd"/>
      <w:r w:rsidRPr="007B57B4">
        <w:rPr>
          <w:bCs/>
        </w:rPr>
        <w:t xml:space="preserve"> that even the "simplest" named actions are not so simple -- certainly are not the mere makings of physical movements, and to ask what more, then, comes in (intentions? conventions?) and what does not (motives?), and what is the detail of the complicated internal machinery we use in "acting" -- the receipt of intelligence, the appreciation of the situation, the invocation of principles, the planning, the control of execution and the rest. </w:t>
      </w:r>
    </w:p>
    <w:p w:rsidR="007B57B4" w:rsidRDefault="003C1D29" w:rsidP="007B57B4">
      <w:pPr>
        <w:pStyle w:val="Default"/>
        <w:spacing w:line="276" w:lineRule="auto"/>
        <w:ind w:firstLine="720"/>
        <w:rPr>
          <w:bCs/>
        </w:rPr>
      </w:pPr>
      <w:r w:rsidRPr="007B57B4">
        <w:rPr>
          <w:bCs/>
        </w:rPr>
        <w:t xml:space="preserve">In two main ways the study of excuses can throw light on these fundamental matters. First, to examine excuses is to examine cases where there has been some abnormality or failure: and as so often, the abnormal will throw light on the normal, will help us to penetrate the blinding veil of ease and obviousness that hides the mechanisms of the natural successful act. It rapidly becomes plain that the breakdowns </w:t>
      </w:r>
      <w:proofErr w:type="spellStart"/>
      <w:r w:rsidRPr="007B57B4">
        <w:rPr>
          <w:bCs/>
        </w:rPr>
        <w:t>signalised</w:t>
      </w:r>
      <w:proofErr w:type="spellEnd"/>
      <w:r w:rsidRPr="007B57B4">
        <w:rPr>
          <w:bCs/>
        </w:rPr>
        <w:t xml:space="preserve"> by the various excuses are of radically different kinds, affecting different parts or stages of the machinery, which the excuses consequently pick out and sort out for us. Further, it emerges that not every slip-up occurs in </w:t>
      </w:r>
      <w:proofErr w:type="spellStart"/>
      <w:r w:rsidRPr="007B57B4">
        <w:rPr>
          <w:bCs/>
        </w:rPr>
        <w:t>connexion</w:t>
      </w:r>
      <w:proofErr w:type="spellEnd"/>
      <w:r w:rsidRPr="007B57B4">
        <w:rPr>
          <w:bCs/>
        </w:rPr>
        <w:t xml:space="preserve"> with everything that could be called an "action", that not every excuse is apt with every verb-far indeed from it: and this provides us with one means of introducing some classification into the vast miscellany of </w:t>
      </w:r>
      <w:proofErr w:type="gramStart"/>
      <w:r w:rsidRPr="007B57B4">
        <w:rPr>
          <w:bCs/>
        </w:rPr>
        <w:t>" actions</w:t>
      </w:r>
      <w:proofErr w:type="gramEnd"/>
      <w:r w:rsidRPr="007B57B4">
        <w:rPr>
          <w:bCs/>
        </w:rPr>
        <w:t xml:space="preserve"> ". If we classify them according to the particular selection of breakdowns to which each is liable, this should assign them their places in some family group or groups of actions, or in some model of the machinery of acting. </w:t>
      </w:r>
    </w:p>
    <w:p w:rsidR="003C1D29" w:rsidRPr="007B57B4" w:rsidRDefault="003C1D29" w:rsidP="007B57B4">
      <w:pPr>
        <w:pStyle w:val="Default"/>
        <w:spacing w:line="276" w:lineRule="auto"/>
        <w:ind w:firstLine="720"/>
        <w:rPr>
          <w:bCs/>
        </w:rPr>
      </w:pPr>
      <w:r w:rsidRPr="007B57B4">
        <w:rPr>
          <w:bCs/>
        </w:rPr>
        <w:t>In this sort of way, the philosophical study of conduct can get off to a positive fresh start. But by the way, and more negatively, a number of traditional cruces or mistakes in this field can be resolved or removed. First among these comes the problem of Freedom. While it has been the tra</w:t>
      </w:r>
      <w:r w:rsidR="007B57B4">
        <w:rPr>
          <w:bCs/>
        </w:rPr>
        <w:t>dition to present this as the "positive</w:t>
      </w:r>
      <w:r w:rsidRPr="007B57B4">
        <w:rPr>
          <w:bCs/>
        </w:rPr>
        <w:t>" term requiring elucidation, there is little doubt that to say we acted " freely " (in the philosopher's use, which is only faintly related to the everyday use) is to say only that we acted not un-freely, in one or another of the many heterogeneous ways of so acting (under dures</w:t>
      </w:r>
      <w:r w:rsidR="007B57B4">
        <w:rPr>
          <w:bCs/>
        </w:rPr>
        <w:t>s, or what not). Like "real", "</w:t>
      </w:r>
      <w:proofErr w:type="gramStart"/>
      <w:r w:rsidRPr="007B57B4">
        <w:rPr>
          <w:bCs/>
        </w:rPr>
        <w:t>free "</w:t>
      </w:r>
      <w:proofErr w:type="gramEnd"/>
      <w:r w:rsidRPr="007B57B4">
        <w:rPr>
          <w:bCs/>
        </w:rPr>
        <w:t xml:space="preserve"> is only used to rule out the suggestion of some or all of its </w:t>
      </w:r>
      <w:proofErr w:type="spellStart"/>
      <w:r w:rsidRPr="007B57B4">
        <w:rPr>
          <w:bCs/>
        </w:rPr>
        <w:t>reco</w:t>
      </w:r>
      <w:r w:rsidR="007B57B4">
        <w:rPr>
          <w:bCs/>
        </w:rPr>
        <w:t>gnised</w:t>
      </w:r>
      <w:proofErr w:type="spellEnd"/>
      <w:r w:rsidR="007B57B4">
        <w:rPr>
          <w:bCs/>
        </w:rPr>
        <w:t xml:space="preserve"> antitheses. As "truth</w:t>
      </w:r>
      <w:r w:rsidRPr="007B57B4">
        <w:rPr>
          <w:bCs/>
        </w:rPr>
        <w:t xml:space="preserve">" is not a name for a characteristic of assertions, so </w:t>
      </w:r>
      <w:r w:rsidR="007B57B4">
        <w:rPr>
          <w:bCs/>
        </w:rPr>
        <w:t>“freedom</w:t>
      </w:r>
      <w:r w:rsidRPr="007B57B4">
        <w:rPr>
          <w:bCs/>
        </w:rPr>
        <w:t>" is not a name for a characteristic of actions, but the name of a dimension in which actions are assessed. In examining all the ways in which each action may not</w:t>
      </w:r>
      <w:r w:rsidR="007B57B4">
        <w:rPr>
          <w:bCs/>
        </w:rPr>
        <w:t xml:space="preserve"> be "free</w:t>
      </w:r>
      <w:r w:rsidRPr="007B57B4">
        <w:rPr>
          <w:bCs/>
        </w:rPr>
        <w:t>", i.e., the cases in which</w:t>
      </w:r>
      <w:r w:rsidR="007B57B4">
        <w:rPr>
          <w:bCs/>
        </w:rPr>
        <w:t xml:space="preserve"> it will not do to say simply "</w:t>
      </w:r>
      <w:r w:rsidRPr="007B57B4">
        <w:rPr>
          <w:bCs/>
        </w:rPr>
        <w:t>X did A", we may hope to dispose of the problem of Freedom. Aristotle has often been chidden for talking about excu</w:t>
      </w:r>
      <w:r w:rsidR="007B57B4">
        <w:rPr>
          <w:bCs/>
        </w:rPr>
        <w:t>ses or pleas and over-looking "the real problem</w:t>
      </w:r>
      <w:r w:rsidRPr="007B57B4">
        <w:rPr>
          <w:bCs/>
        </w:rPr>
        <w:t xml:space="preserve">": in my own case, it was when I began to see the injustice of this charge that I first became interested in excuses. </w:t>
      </w:r>
    </w:p>
    <w:p w:rsidR="003C1D29" w:rsidRPr="007B57B4" w:rsidRDefault="0021477D" w:rsidP="007B57B4">
      <w:pPr>
        <w:pStyle w:val="Default"/>
        <w:spacing w:line="276" w:lineRule="auto"/>
        <w:ind w:firstLine="720"/>
        <w:rPr>
          <w:bCs/>
        </w:rPr>
      </w:pPr>
      <w:r w:rsidRPr="007B57B4">
        <w:rPr>
          <w:bCs/>
        </w:rPr>
        <w:t>There is much to be said for the view that, philosophical tradition apart, Responsibility would be a better candidate for the role here assigned to Freedom. If ordinary language is to be our guide, it is to evade responsibility, or full responsibility, that we most often make excuses, and I have used the word myself i</w:t>
      </w:r>
      <w:r w:rsidR="007B57B4">
        <w:rPr>
          <w:bCs/>
        </w:rPr>
        <w:t>n this way above. But in fact "responsibility</w:t>
      </w:r>
      <w:r w:rsidRPr="007B57B4">
        <w:rPr>
          <w:bCs/>
        </w:rPr>
        <w:t xml:space="preserve">" too seems not really apt in all cases: I do not exactly evade responsibility when I plead clumsiness or tactlessness, nor, often, when I plead that I only did it unwillingly or reluctantly, and still less if I </w:t>
      </w:r>
      <w:r w:rsidRPr="007B57B4">
        <w:rPr>
          <w:bCs/>
        </w:rPr>
        <w:lastRenderedPageBreak/>
        <w:t>plead that I had in the circumstances no choice: here I was constrained and have an excuse (or justif</w:t>
      </w:r>
      <w:r w:rsidR="007B57B4">
        <w:rPr>
          <w:bCs/>
        </w:rPr>
        <w:t>ication), yet may accept respon</w:t>
      </w:r>
      <w:r w:rsidRPr="007B57B4">
        <w:rPr>
          <w:bCs/>
        </w:rPr>
        <w:t>sibility. It may be, then, that at least two key terms, Freedom and Responsibility, are needed: the relation between them is not clear, and it may be hoped that the investigation of excuses will</w:t>
      </w:r>
      <w:r w:rsidR="007B57B4">
        <w:rPr>
          <w:bCs/>
        </w:rPr>
        <w:t xml:space="preserve"> contribute towards its clarifi</w:t>
      </w:r>
      <w:r w:rsidRPr="007B57B4">
        <w:rPr>
          <w:bCs/>
        </w:rPr>
        <w:t>cation.</w:t>
      </w:r>
      <w:r w:rsidR="008E5708" w:rsidRPr="007B57B4">
        <w:rPr>
          <w:rStyle w:val="FootnoteReference"/>
          <w:bCs/>
        </w:rPr>
        <w:footnoteReference w:id="2"/>
      </w:r>
      <w:r w:rsidRPr="007B57B4">
        <w:rPr>
          <w:bCs/>
        </w:rPr>
        <w:t xml:space="preserve"> </w:t>
      </w:r>
    </w:p>
    <w:p w:rsidR="003C1D29" w:rsidRPr="007B57B4" w:rsidRDefault="0021477D" w:rsidP="007B57B4">
      <w:pPr>
        <w:pStyle w:val="Default"/>
        <w:spacing w:line="276" w:lineRule="auto"/>
        <w:ind w:firstLine="720"/>
        <w:rPr>
          <w:bCs/>
        </w:rPr>
      </w:pPr>
      <w:proofErr w:type="gramStart"/>
      <w:r w:rsidRPr="007B57B4">
        <w:rPr>
          <w:bCs/>
        </w:rPr>
        <w:t>So much, then, for ways in which the study of excuses may throw light on ethics.</w:t>
      </w:r>
      <w:proofErr w:type="gramEnd"/>
      <w:r w:rsidRPr="007B57B4">
        <w:rPr>
          <w:bCs/>
        </w:rPr>
        <w:t xml:space="preserve"> But there are also reasons why it is an attractive subject methodologically, at least if we are to proceed from "ordinary language", that is, by examining what we should say when, and so why and what we should mean by it. Perhaps this method, at least as one philosophical method, scarcely requires justification at present-too evidently, there is gold in them </w:t>
      </w:r>
      <w:proofErr w:type="spellStart"/>
      <w:r w:rsidRPr="007B57B4">
        <w:rPr>
          <w:bCs/>
        </w:rPr>
        <w:t>thar</w:t>
      </w:r>
      <w:proofErr w:type="spellEnd"/>
      <w:r w:rsidRPr="007B57B4">
        <w:rPr>
          <w:bCs/>
        </w:rPr>
        <w:t xml:space="preserve"> hills: more opportune would be a warning about the care and thoroughness needed if it is not to fall into disrepute. I will, however, justify it very briefly. </w:t>
      </w:r>
    </w:p>
    <w:p w:rsidR="003C1D29" w:rsidRPr="007B57B4" w:rsidRDefault="0021477D" w:rsidP="007B57B4">
      <w:pPr>
        <w:pStyle w:val="Default"/>
        <w:spacing w:line="276" w:lineRule="auto"/>
        <w:ind w:firstLine="720"/>
        <w:rPr>
          <w:bCs/>
        </w:rPr>
      </w:pPr>
      <w:r w:rsidRPr="007B57B4">
        <w:rPr>
          <w:bCs/>
        </w:rPr>
        <w:t xml:space="preserve">First, words are our tools, and, as a minimum, we should use clean tools: we should know what we mean and what we do </w:t>
      </w:r>
      <w:proofErr w:type="gramStart"/>
      <w:r w:rsidRPr="007B57B4">
        <w:rPr>
          <w:bCs/>
        </w:rPr>
        <w:t>not,</w:t>
      </w:r>
      <w:proofErr w:type="gramEnd"/>
      <w:r w:rsidRPr="007B57B4">
        <w:rPr>
          <w:bCs/>
        </w:rPr>
        <w:t xml:space="preserve"> and we must forearm ourselves against the traps that language sets us. Secondly, words are not (except in their own little corner) facts or things: we need therefore to </w:t>
      </w:r>
      <w:proofErr w:type="spellStart"/>
      <w:r w:rsidRPr="007B57B4">
        <w:rPr>
          <w:bCs/>
        </w:rPr>
        <w:t>prise</w:t>
      </w:r>
      <w:proofErr w:type="spellEnd"/>
      <w:r w:rsidRPr="007B57B4">
        <w:rPr>
          <w:bCs/>
        </w:rPr>
        <w:t xml:space="preserve"> them off the world, to hold them apart from and against it, so that we can </w:t>
      </w:r>
      <w:proofErr w:type="spellStart"/>
      <w:r w:rsidRPr="007B57B4">
        <w:rPr>
          <w:bCs/>
        </w:rPr>
        <w:t>realise</w:t>
      </w:r>
      <w:proofErr w:type="spellEnd"/>
      <w:r w:rsidRPr="007B57B4">
        <w:rPr>
          <w:bCs/>
        </w:rPr>
        <w:t xml:space="preserve"> their inadequacies and </w:t>
      </w:r>
      <w:proofErr w:type="spellStart"/>
      <w:r w:rsidRPr="007B57B4">
        <w:rPr>
          <w:bCs/>
        </w:rPr>
        <w:t>arbitrarinesses</w:t>
      </w:r>
      <w:proofErr w:type="spellEnd"/>
      <w:r w:rsidRPr="007B57B4">
        <w:rPr>
          <w:bCs/>
        </w:rPr>
        <w:t xml:space="preserve">, and can re-look at the world without blinkers. Thirdly, and more hopefully, our common stock of words embodies all the distinctions men have found worth drawing, and the </w:t>
      </w:r>
      <w:proofErr w:type="spellStart"/>
      <w:r w:rsidRPr="007B57B4">
        <w:rPr>
          <w:bCs/>
        </w:rPr>
        <w:t>connexions</w:t>
      </w:r>
      <w:proofErr w:type="spellEnd"/>
      <w:r w:rsidRPr="007B57B4">
        <w:rPr>
          <w:bCs/>
        </w:rPr>
        <w:t xml:space="preserve"> they have found worth marking, in the lifetimes of many generations: these surely are likely to be more numerous, more sound, since they have stood up to the long test of the survival of the fittest, and more subtle, at least in all ordinary and reasonably practical matters, than any that you or I are likely to think up in our armchairs of an afternoon-the most </w:t>
      </w:r>
      <w:proofErr w:type="spellStart"/>
      <w:r w:rsidRPr="007B57B4">
        <w:rPr>
          <w:bCs/>
        </w:rPr>
        <w:t>favoured</w:t>
      </w:r>
      <w:proofErr w:type="spellEnd"/>
      <w:r w:rsidRPr="007B57B4">
        <w:rPr>
          <w:bCs/>
        </w:rPr>
        <w:t xml:space="preserve"> alternative method. </w:t>
      </w:r>
    </w:p>
    <w:p w:rsidR="003C1D29" w:rsidRPr="007B57B4" w:rsidRDefault="0021477D" w:rsidP="007B57B4">
      <w:pPr>
        <w:pStyle w:val="Default"/>
        <w:spacing w:line="276" w:lineRule="auto"/>
        <w:ind w:firstLine="720"/>
        <w:rPr>
          <w:bCs/>
        </w:rPr>
      </w:pPr>
      <w:r w:rsidRPr="007B57B4">
        <w:rPr>
          <w:bCs/>
        </w:rPr>
        <w:t>In view of</w:t>
      </w:r>
      <w:r w:rsidR="007B57B4">
        <w:rPr>
          <w:bCs/>
        </w:rPr>
        <w:t xml:space="preserve"> the prevalence of the slogan "ordinary language", and of such names as "linguistic" or "analytic</w:t>
      </w:r>
      <w:r w:rsidRPr="007B57B4">
        <w:rPr>
          <w:bCs/>
        </w:rPr>
        <w:t xml:space="preserve">" philosophy or "the analysis of language", one thing needs specially </w:t>
      </w:r>
      <w:proofErr w:type="spellStart"/>
      <w:r w:rsidRPr="007B57B4">
        <w:rPr>
          <w:bCs/>
        </w:rPr>
        <w:t>emphasising</w:t>
      </w:r>
      <w:proofErr w:type="spellEnd"/>
      <w:r w:rsidRPr="007B57B4">
        <w:rPr>
          <w:bCs/>
        </w:rPr>
        <w:t xml:space="preserve"> to counter misunderstandings. When we examine what we should say when, what words we should use in what situations, we are looking </w:t>
      </w:r>
      <w:r w:rsidR="007B57B4">
        <w:rPr>
          <w:bCs/>
        </w:rPr>
        <w:t>again not merely at words (or "meanings</w:t>
      </w:r>
      <w:r w:rsidRPr="007B57B4">
        <w:rPr>
          <w:bCs/>
        </w:rPr>
        <w:t xml:space="preserve">", whatever they may be) but also at the realities we use the words to talk about: we are using a sharpened awareness of words to sharpen our perception of, though not as the final arbiter of, the phenomena. For this reason I think it might be better to use, for this way of doing philosophy, some less misleading name than those given above-for instance, </w:t>
      </w:r>
      <w:r w:rsidR="007B57B4">
        <w:rPr>
          <w:bCs/>
        </w:rPr>
        <w:t>"</w:t>
      </w:r>
      <w:r w:rsidRPr="007B57B4">
        <w:rPr>
          <w:bCs/>
        </w:rPr>
        <w:t xml:space="preserve">linguistic phenomenology", only that is rather a mouthful. </w:t>
      </w:r>
    </w:p>
    <w:p w:rsidR="008E5708" w:rsidRPr="007B57B4" w:rsidRDefault="0021477D" w:rsidP="007B57B4">
      <w:pPr>
        <w:pStyle w:val="Default"/>
        <w:spacing w:line="276" w:lineRule="auto"/>
        <w:ind w:firstLine="720"/>
        <w:rPr>
          <w:bCs/>
        </w:rPr>
      </w:pPr>
      <w:r w:rsidRPr="007B57B4">
        <w:rPr>
          <w:bCs/>
        </w:rPr>
        <w:t xml:space="preserve">Using, then, such a method, it is plainly preferable to investigate a field where ordinary language is rich and subtle, as it is in the pressingly practical matter of Excuses, but certainly is </w:t>
      </w:r>
      <w:r w:rsidRPr="007B57B4">
        <w:rPr>
          <w:bCs/>
        </w:rPr>
        <w:lastRenderedPageBreak/>
        <w:t>not in the matter, say, of Time. At the same time we should prefer a field which is not too much trodden into bogs or tracks by traditional phil</w:t>
      </w:r>
      <w:r w:rsidR="007B57B4">
        <w:rPr>
          <w:bCs/>
        </w:rPr>
        <w:t>osophy, for in that case even "ordinary</w:t>
      </w:r>
      <w:r w:rsidRPr="007B57B4">
        <w:rPr>
          <w:bCs/>
        </w:rPr>
        <w:t xml:space="preserve">" language will often have become infected with the jargon of extinct theories, and our own prejudices too, as the upholders or imbibers of theoretical views, will be too readily, and often insensibly, engaged. Here too, Excuses form an admirable topic; we can discuss at least clumsiness, or absence of mind, or inconsiderateness, even </w:t>
      </w:r>
      <w:proofErr w:type="spellStart"/>
      <w:r w:rsidRPr="007B57B4">
        <w:rPr>
          <w:bCs/>
        </w:rPr>
        <w:t>sp</w:t>
      </w:r>
      <w:r w:rsidR="007B57B4">
        <w:rPr>
          <w:bCs/>
        </w:rPr>
        <w:t>ontaneousness</w:t>
      </w:r>
      <w:proofErr w:type="spellEnd"/>
      <w:r w:rsidR="007B57B4">
        <w:rPr>
          <w:bCs/>
        </w:rPr>
        <w:t>, without remember</w:t>
      </w:r>
      <w:r w:rsidRPr="007B57B4">
        <w:rPr>
          <w:bCs/>
        </w:rPr>
        <w:t xml:space="preserve">ing what Kant thought, and so progress by degrees even to discussing deliberation without for once remembering Aristotle or self-control without Plato. Granted that our subject is, as already claimed for it, </w:t>
      </w:r>
      <w:proofErr w:type="spellStart"/>
      <w:r w:rsidRPr="007B57B4">
        <w:rPr>
          <w:bCs/>
        </w:rPr>
        <w:t>neighbouring</w:t>
      </w:r>
      <w:proofErr w:type="spellEnd"/>
      <w:r w:rsidRPr="007B57B4">
        <w:rPr>
          <w:bCs/>
        </w:rPr>
        <w:t xml:space="preserve">, analogous or germane in some way to some notorious </w:t>
      </w:r>
      <w:proofErr w:type="spellStart"/>
      <w:r w:rsidRPr="007B57B4">
        <w:rPr>
          <w:bCs/>
        </w:rPr>
        <w:t>centre</w:t>
      </w:r>
      <w:proofErr w:type="spellEnd"/>
      <w:r w:rsidRPr="007B57B4">
        <w:rPr>
          <w:bCs/>
        </w:rPr>
        <w:t xml:space="preserve"> of philosophical trouble, then,</w:t>
      </w:r>
      <w:r w:rsidR="007B57B4">
        <w:rPr>
          <w:bCs/>
        </w:rPr>
        <w:t xml:space="preserve"> with these two further require</w:t>
      </w:r>
      <w:r w:rsidRPr="007B57B4">
        <w:rPr>
          <w:bCs/>
        </w:rPr>
        <w:t>ments satisfied, we should be certain of what we are after: a good site for field work in philosophy. Here at last we should be able to unfreeze, to loosen up and get going on agreeing about discoveries, however small, and on agreein</w:t>
      </w:r>
      <w:r w:rsidR="008E5708" w:rsidRPr="007B57B4">
        <w:rPr>
          <w:bCs/>
        </w:rPr>
        <w:t>g about how to reach agreement.</w:t>
      </w:r>
      <w:r w:rsidR="008E5708" w:rsidRPr="007B57B4">
        <w:rPr>
          <w:rStyle w:val="FootnoteReference"/>
          <w:bCs/>
        </w:rPr>
        <w:footnoteReference w:id="3"/>
      </w:r>
      <w:r w:rsidRPr="007B57B4">
        <w:rPr>
          <w:bCs/>
        </w:rPr>
        <w:t xml:space="preserve"> How much it is to be wished that similar field work will soon be undertaken in, say, aesthetics; if only we could forget for a while about the beautiful and get down instead to the dainty and the dumpy. </w:t>
      </w:r>
    </w:p>
    <w:p w:rsidR="008E5708" w:rsidRPr="007B57B4" w:rsidRDefault="0021477D" w:rsidP="007B57B4">
      <w:pPr>
        <w:pStyle w:val="Default"/>
        <w:spacing w:line="276" w:lineRule="auto"/>
        <w:ind w:firstLine="720"/>
        <w:rPr>
          <w:bCs/>
        </w:rPr>
      </w:pPr>
      <w:r w:rsidRPr="007B57B4">
        <w:rPr>
          <w:bCs/>
        </w:rPr>
        <w:t>There are, I know, or are suppo</w:t>
      </w:r>
      <w:r w:rsidR="007B57B4">
        <w:rPr>
          <w:bCs/>
        </w:rPr>
        <w:t>sed to be, snags in "linguistic</w:t>
      </w:r>
      <w:r w:rsidRPr="007B57B4">
        <w:rPr>
          <w:bCs/>
        </w:rPr>
        <w:t xml:space="preserve">" philosophy, which those not very familiar with it find, sometimes not without glee or relief, daunting. But with snags, as with nettles, the thing to do is to grasp them-and to climb above them. I will mention two in particular, over which the study of excuses may help to encourage us. The first is the snag of Loose (or Divergent or Alternative) Usage; and the second the crux of the Last Word. Do we all say the same, and only the same, things in the same situations? Don't usages differ? And, Why should what we all ordinarily say be the only or the best or final way of putting it? Why should it even be true? </w:t>
      </w:r>
    </w:p>
    <w:p w:rsidR="008E5708" w:rsidRPr="007B57B4" w:rsidRDefault="0021477D" w:rsidP="007B57B4">
      <w:pPr>
        <w:pStyle w:val="Default"/>
        <w:spacing w:line="276" w:lineRule="auto"/>
        <w:ind w:firstLine="720"/>
        <w:rPr>
          <w:bCs/>
        </w:rPr>
      </w:pPr>
      <w:r w:rsidRPr="007B57B4">
        <w:rPr>
          <w:bCs/>
        </w:rPr>
        <w:t xml:space="preserve">Well, people's usages do vary, and we do talk loosely, and we do say different things apparently indifferently. </w:t>
      </w:r>
      <w:proofErr w:type="gramStart"/>
      <w:r w:rsidRPr="007B57B4">
        <w:rPr>
          <w:bCs/>
        </w:rPr>
        <w:t>But first, not nearly as much as one would think.</w:t>
      </w:r>
      <w:proofErr w:type="gramEnd"/>
      <w:r w:rsidRPr="007B57B4">
        <w:rPr>
          <w:bCs/>
        </w:rPr>
        <w:t xml:space="preserve"> When we come down to cases, it transpires in the very great majority that what we had thought was our wanting to say different things of and in the s</w:t>
      </w:r>
      <w:r w:rsidR="007B57B4">
        <w:rPr>
          <w:bCs/>
        </w:rPr>
        <w:t xml:space="preserve">ame situation was really not so -- </w:t>
      </w:r>
      <w:r w:rsidRPr="007B57B4">
        <w:rPr>
          <w:bCs/>
        </w:rPr>
        <w:t>we had simply imagined the situation slightly differently: which is all too easy to do, because of course no situation (and we are dealing with</w:t>
      </w:r>
      <w:r w:rsidR="007B57B4">
        <w:rPr>
          <w:bCs/>
        </w:rPr>
        <w:t xml:space="preserve"> imagined situations) is ever "completely</w:t>
      </w:r>
      <w:r w:rsidRPr="007B57B4">
        <w:rPr>
          <w:bCs/>
        </w:rPr>
        <w:t>" described. The more we imagine the situation in det</w:t>
      </w:r>
      <w:r w:rsidR="007B57B4">
        <w:rPr>
          <w:bCs/>
        </w:rPr>
        <w:t xml:space="preserve">ail, with a background of story -- </w:t>
      </w:r>
      <w:r w:rsidRPr="007B57B4">
        <w:rPr>
          <w:bCs/>
        </w:rPr>
        <w:t>and it is worth employing the most idiosyncratic or, sometimes, boring means to stimulate and to disci</w:t>
      </w:r>
      <w:r w:rsidR="007B57B4">
        <w:rPr>
          <w:bCs/>
        </w:rPr>
        <w:t xml:space="preserve">pline our wretched imaginations -- </w:t>
      </w:r>
      <w:r w:rsidRPr="007B57B4">
        <w:rPr>
          <w:bCs/>
        </w:rPr>
        <w:t xml:space="preserve">the less we find we disagree about what we should say. Nevertheless, sometimes we do ultimately disagree: sometimes we must allow a usage to be, though appalling, yet actual; sometimes we should genuinely use either or both of two different descriptions. But why should this daunt us? All that is happening is entirely explicable. If our </w:t>
      </w:r>
      <w:r w:rsidR="007B57B4">
        <w:rPr>
          <w:bCs/>
        </w:rPr>
        <w:t>usages disagree, then you use "X" where I use "</w:t>
      </w:r>
      <w:r w:rsidRPr="007B57B4">
        <w:rPr>
          <w:bCs/>
        </w:rPr>
        <w:t>Y", or more probably (and more intriguingly) your conceptual system is different from mine, though very likely it is at least equally consistent and servi</w:t>
      </w:r>
      <w:r w:rsidR="007B57B4">
        <w:rPr>
          <w:bCs/>
        </w:rPr>
        <w:t xml:space="preserve">ceable: in short, we can find why we disagree -- </w:t>
      </w:r>
      <w:r w:rsidRPr="007B57B4">
        <w:rPr>
          <w:bCs/>
        </w:rPr>
        <w:t xml:space="preserve">you choose to classify in one way, I in another. If the usage is loose, we can </w:t>
      </w:r>
      <w:r w:rsidRPr="007B57B4">
        <w:rPr>
          <w:bCs/>
        </w:rPr>
        <w:lastRenderedPageBreak/>
        <w:t>understand the temptation that leads to it, and the distinction</w:t>
      </w:r>
      <w:r w:rsidR="007B57B4">
        <w:rPr>
          <w:bCs/>
        </w:rPr>
        <w:t>s that it blurs: if there are "alternative</w:t>
      </w:r>
      <w:r w:rsidRPr="007B57B4">
        <w:rPr>
          <w:bCs/>
        </w:rPr>
        <w:t>" descriptions, then the situati</w:t>
      </w:r>
      <w:r w:rsidR="007B57B4">
        <w:rPr>
          <w:bCs/>
        </w:rPr>
        <w:t>on can be described or can be "structured</w:t>
      </w:r>
      <w:r w:rsidRPr="007B57B4">
        <w:rPr>
          <w:bCs/>
        </w:rPr>
        <w:t xml:space="preserve">" in two ways, or perhaps it is one where, for current purposes, the two alternatives come down to the same. A disagreement as to what we should say is not to be shied off, but to be pounced upon: for the explanation of it can hardly fail to be illuminating. If we light on an electron that rotates the wrong way, that is a discovery, a portent to be followed up, not a reason for chucking physics: and by the same token, a genuinely loose or eccentric talker is a rare specimen to be prized. </w:t>
      </w:r>
    </w:p>
    <w:p w:rsidR="008E5708" w:rsidRPr="007B57B4" w:rsidRDefault="0021477D" w:rsidP="007B57B4">
      <w:pPr>
        <w:pStyle w:val="Default"/>
        <w:spacing w:line="276" w:lineRule="auto"/>
        <w:ind w:firstLine="720"/>
        <w:rPr>
          <w:bCs/>
        </w:rPr>
      </w:pPr>
      <w:r w:rsidRPr="007B57B4">
        <w:rPr>
          <w:bCs/>
        </w:rPr>
        <w:t xml:space="preserve">As practice in learning to handle this bogey, in learning the essential rubrics, we could scarcely hope for a more promising exercise than the study of excuses. Here, surely, is just the sort of situation where people will say "almost anything", because they are so </w:t>
      </w:r>
      <w:proofErr w:type="gramStart"/>
      <w:r w:rsidRPr="007B57B4">
        <w:rPr>
          <w:bCs/>
        </w:rPr>
        <w:t>flurried,</w:t>
      </w:r>
      <w:proofErr w:type="gramEnd"/>
      <w:r w:rsidRPr="007B57B4">
        <w:rPr>
          <w:bCs/>
        </w:rPr>
        <w:t xml:space="preserve"> or so anxious to get off. "It was a mistake", " It</w:t>
      </w:r>
      <w:r w:rsidR="0050032E">
        <w:rPr>
          <w:bCs/>
        </w:rPr>
        <w:t xml:space="preserve"> was an </w:t>
      </w:r>
      <w:proofErr w:type="gramStart"/>
      <w:r w:rsidR="0050032E">
        <w:rPr>
          <w:bCs/>
        </w:rPr>
        <w:t>accident "</w:t>
      </w:r>
      <w:proofErr w:type="gramEnd"/>
      <w:r w:rsidR="0050032E">
        <w:rPr>
          <w:bCs/>
        </w:rPr>
        <w:t xml:space="preserve"> -- </w:t>
      </w:r>
      <w:r w:rsidRPr="007B57B4">
        <w:rPr>
          <w:bCs/>
        </w:rPr>
        <w:t xml:space="preserve">how readily these can appear indifferent, and even be used together. Yet, a story or two, and everybody will not merely agree that they are completely different, but even discover for </w:t>
      </w:r>
      <w:proofErr w:type="gramStart"/>
      <w:r w:rsidRPr="007B57B4">
        <w:rPr>
          <w:bCs/>
        </w:rPr>
        <w:t>himself</w:t>
      </w:r>
      <w:proofErr w:type="gramEnd"/>
      <w:r w:rsidRPr="007B57B4">
        <w:rPr>
          <w:bCs/>
        </w:rPr>
        <w:t xml:space="preserve"> what the difference is and what each means.</w:t>
      </w:r>
      <w:r w:rsidR="008E5708" w:rsidRPr="007B57B4">
        <w:rPr>
          <w:rStyle w:val="FootnoteReference"/>
          <w:bCs/>
        </w:rPr>
        <w:footnoteReference w:id="4"/>
      </w:r>
      <w:r w:rsidRPr="007B57B4">
        <w:rPr>
          <w:bCs/>
        </w:rPr>
        <w:t xml:space="preserve"> </w:t>
      </w:r>
    </w:p>
    <w:p w:rsidR="00E51B22" w:rsidRPr="007B57B4" w:rsidRDefault="0021477D" w:rsidP="007B57B4">
      <w:pPr>
        <w:pStyle w:val="Default"/>
        <w:spacing w:line="276" w:lineRule="auto"/>
        <w:ind w:firstLine="720"/>
      </w:pPr>
      <w:proofErr w:type="gramStart"/>
      <w:r w:rsidRPr="007B57B4">
        <w:rPr>
          <w:bCs/>
        </w:rPr>
        <w:t>Then, for the Last Word.</w:t>
      </w:r>
      <w:proofErr w:type="gramEnd"/>
      <w:r w:rsidRPr="007B57B4">
        <w:rPr>
          <w:bCs/>
        </w:rPr>
        <w:t xml:space="preserve"> Certainly ordinary language has no claim to be the last word, if there is such a thing. It embodies, indeed, something better than the metaphysics of the Stone Age, namely, as was said, the inherited experience and acumen of many generations of men. But then, that acumen has been concentrated primarily upon the practical business of life. If a distinction works well for practical purposes in ordinary life (no mean feat, for even ordinary life is full of hard cases), then there is sure to be something in it, it will not mark nothing: yet this is likely enough to be not the best way of arranging things if our interests are more extensive or intellectual than the ordinary. And again, that experience has been derived only from the sources available to ordinary men throughout most of </w:t>
      </w:r>
      <w:proofErr w:type="spellStart"/>
      <w:r w:rsidRPr="007B57B4">
        <w:rPr>
          <w:bCs/>
        </w:rPr>
        <w:t>civilised</w:t>
      </w:r>
      <w:proofErr w:type="spellEnd"/>
      <w:r w:rsidRPr="007B57B4">
        <w:rPr>
          <w:bCs/>
        </w:rPr>
        <w:t xml:space="preserve"> history: it has not been fed from the resources of the microscope and its successors. And it must be added too, that superstition and error and fantasy of all kinds do become incorporated in ordinary language and even sometimes stand up to the survival test (only, when they do, why should we not detect it?). </w:t>
      </w:r>
      <w:r w:rsidR="008E5708" w:rsidRPr="007B57B4">
        <w:t>Certainly, then, ordinary language is not the last word: in principle it can everywhere be supplemented and improved upon and superseded. Only remember, it is the</w:t>
      </w:r>
      <w:r w:rsidR="008E5708" w:rsidRPr="007B57B4">
        <w:t xml:space="preserve"> </w:t>
      </w:r>
      <w:r w:rsidR="007B57B4" w:rsidRPr="007B57B4">
        <w:t>first word.</w:t>
      </w:r>
      <w:r w:rsidR="007B57B4" w:rsidRPr="007B57B4">
        <w:rPr>
          <w:rStyle w:val="FootnoteReference"/>
        </w:rPr>
        <w:footnoteReference w:id="5"/>
      </w:r>
    </w:p>
    <w:sectPr w:rsidR="00E51B22" w:rsidRPr="007B57B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7CE0" w:rsidRDefault="00717CE0" w:rsidP="0021477D">
      <w:pPr>
        <w:spacing w:after="0" w:line="240" w:lineRule="auto"/>
      </w:pPr>
      <w:r>
        <w:separator/>
      </w:r>
    </w:p>
  </w:endnote>
  <w:endnote w:type="continuationSeparator" w:id="0">
    <w:p w:rsidR="00717CE0" w:rsidRDefault="00717CE0" w:rsidP="00214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7CE0" w:rsidRDefault="00717CE0" w:rsidP="0021477D">
      <w:pPr>
        <w:spacing w:after="0" w:line="240" w:lineRule="auto"/>
      </w:pPr>
      <w:r>
        <w:separator/>
      </w:r>
    </w:p>
  </w:footnote>
  <w:footnote w:type="continuationSeparator" w:id="0">
    <w:p w:rsidR="00717CE0" w:rsidRDefault="00717CE0" w:rsidP="0021477D">
      <w:pPr>
        <w:spacing w:after="0" w:line="240" w:lineRule="auto"/>
      </w:pPr>
      <w:r>
        <w:continuationSeparator/>
      </w:r>
    </w:p>
  </w:footnote>
  <w:footnote w:id="1">
    <w:p w:rsidR="0021477D" w:rsidRDefault="0021477D">
      <w:pPr>
        <w:pStyle w:val="FootnoteText"/>
      </w:pPr>
      <w:r>
        <w:rPr>
          <w:rStyle w:val="FootnoteReference"/>
        </w:rPr>
        <w:footnoteRef/>
      </w:r>
      <w:r>
        <w:t xml:space="preserve"> </w:t>
      </w:r>
      <w:r w:rsidRPr="0021477D">
        <w:rPr>
          <w:rFonts w:ascii="Times New Roman" w:hAnsi="Times New Roman" w:cs="Times New Roman"/>
          <w:bCs/>
          <w:sz w:val="24"/>
          <w:szCs w:val="24"/>
        </w:rPr>
        <w:t>This use has little to do with the more down-to-earth occurrences of "</w:t>
      </w:r>
      <w:proofErr w:type="gramStart"/>
      <w:r w:rsidRPr="0021477D">
        <w:rPr>
          <w:rFonts w:ascii="Times New Roman" w:hAnsi="Times New Roman" w:cs="Times New Roman"/>
          <w:bCs/>
          <w:sz w:val="24"/>
          <w:szCs w:val="24"/>
        </w:rPr>
        <w:t>action "</w:t>
      </w:r>
      <w:proofErr w:type="gramEnd"/>
      <w:r w:rsidRPr="0021477D">
        <w:rPr>
          <w:rFonts w:ascii="Times New Roman" w:hAnsi="Times New Roman" w:cs="Times New Roman"/>
          <w:bCs/>
          <w:sz w:val="24"/>
          <w:szCs w:val="24"/>
        </w:rPr>
        <w:t xml:space="preserve"> in ordinary speech.</w:t>
      </w:r>
    </w:p>
  </w:footnote>
  <w:footnote w:id="2">
    <w:p w:rsidR="008E5708" w:rsidRDefault="008E5708">
      <w:pPr>
        <w:pStyle w:val="FootnoteText"/>
      </w:pPr>
      <w:r>
        <w:rPr>
          <w:rStyle w:val="FootnoteReference"/>
        </w:rPr>
        <w:footnoteRef/>
      </w:r>
      <w:r>
        <w:t xml:space="preserve"> </w:t>
      </w:r>
      <w:r w:rsidRPr="0021477D">
        <w:rPr>
          <w:rFonts w:ascii="Times New Roman" w:hAnsi="Times New Roman" w:cs="Times New Roman"/>
          <w:bCs/>
          <w:sz w:val="24"/>
          <w:szCs w:val="24"/>
        </w:rPr>
        <w:t>Another well-flogged horse in these same stakes is Blame. At least two things seem confused together under this term. Sometimes when I blame X for doing A, say for breaking the vase, it is a question simply or mainly of my disapproval of A, breaking the vase, which unquestionably X did: but some-times it is, rather, a question simply or mainly of how far I think X responsible for A, which unquestionably was bad. Hence if somebody says he blames me for something, I may answer by giving a justification, so that he will cease to disapprove of what I did, or else by giving an excuse, so that he will cease to hold me, at least entirely and in every way, responsible for doing it.</w:t>
      </w:r>
    </w:p>
  </w:footnote>
  <w:footnote w:id="3">
    <w:p w:rsidR="008E5708" w:rsidRDefault="008E5708">
      <w:pPr>
        <w:pStyle w:val="FootnoteText"/>
      </w:pPr>
      <w:r>
        <w:rPr>
          <w:rStyle w:val="FootnoteReference"/>
        </w:rPr>
        <w:footnoteRef/>
      </w:r>
      <w:r>
        <w:t xml:space="preserve"> </w:t>
      </w:r>
      <w:r w:rsidRPr="0021477D">
        <w:rPr>
          <w:rFonts w:ascii="Times New Roman" w:hAnsi="Times New Roman" w:cs="Times New Roman"/>
          <w:bCs/>
          <w:sz w:val="24"/>
          <w:szCs w:val="24"/>
        </w:rPr>
        <w:t>All of which was seen and claimed by Socrates, when he first betook himself to the way of Words.</w:t>
      </w:r>
    </w:p>
  </w:footnote>
  <w:footnote w:id="4">
    <w:p w:rsidR="008E5708" w:rsidRPr="007B57B4" w:rsidRDefault="008E5708">
      <w:pPr>
        <w:pStyle w:val="FootnoteText"/>
        <w:rPr>
          <w:rFonts w:ascii="Times New Roman" w:hAnsi="Times New Roman" w:cs="Times New Roman"/>
          <w:sz w:val="24"/>
          <w:szCs w:val="24"/>
        </w:rPr>
      </w:pPr>
      <w:r w:rsidRPr="007B57B4">
        <w:rPr>
          <w:rStyle w:val="FootnoteReference"/>
          <w:rFonts w:ascii="Times New Roman" w:hAnsi="Times New Roman" w:cs="Times New Roman"/>
          <w:sz w:val="24"/>
          <w:szCs w:val="24"/>
        </w:rPr>
        <w:footnoteRef/>
      </w:r>
      <w:r w:rsidRPr="007B57B4">
        <w:rPr>
          <w:rFonts w:ascii="Times New Roman" w:hAnsi="Times New Roman" w:cs="Times New Roman"/>
          <w:sz w:val="24"/>
          <w:szCs w:val="24"/>
        </w:rPr>
        <w:t xml:space="preserve"> </w:t>
      </w:r>
      <w:r w:rsidRPr="007B57B4">
        <w:rPr>
          <w:rFonts w:ascii="Times New Roman" w:hAnsi="Times New Roman" w:cs="Times New Roman"/>
          <w:bCs/>
          <w:sz w:val="24"/>
          <w:szCs w:val="24"/>
        </w:rPr>
        <w:t>You have a donkey, so have I, and they graze in the same field. The day comes when I conceive a dislike for mine. I go to shoot it, draw a bead on it, fire: the brute falls in its tracks. I inspect the victim, and find to my horror that it is</w:t>
      </w:r>
      <w:r w:rsidR="0050032E">
        <w:rPr>
          <w:rFonts w:ascii="Times New Roman" w:hAnsi="Times New Roman" w:cs="Times New Roman"/>
          <w:bCs/>
          <w:sz w:val="24"/>
          <w:szCs w:val="24"/>
        </w:rPr>
        <w:t xml:space="preserve"> </w:t>
      </w:r>
      <w:r w:rsidRPr="007B57B4">
        <w:rPr>
          <w:rFonts w:ascii="Times New Roman" w:hAnsi="Times New Roman" w:cs="Times New Roman"/>
          <w:bCs/>
          <w:sz w:val="24"/>
          <w:szCs w:val="24"/>
        </w:rPr>
        <w:t xml:space="preserve">your donkey. I appear on your doorstep with the remains and say-what? </w:t>
      </w:r>
      <w:proofErr w:type="gramStart"/>
      <w:r w:rsidRPr="007B57B4">
        <w:rPr>
          <w:rFonts w:ascii="Times New Roman" w:hAnsi="Times New Roman" w:cs="Times New Roman"/>
          <w:bCs/>
          <w:sz w:val="24"/>
          <w:szCs w:val="24"/>
        </w:rPr>
        <w:t>" I</w:t>
      </w:r>
      <w:proofErr w:type="gramEnd"/>
      <w:r w:rsidRPr="007B57B4">
        <w:rPr>
          <w:rFonts w:ascii="Times New Roman" w:hAnsi="Times New Roman" w:cs="Times New Roman"/>
          <w:bCs/>
          <w:sz w:val="24"/>
          <w:szCs w:val="24"/>
        </w:rPr>
        <w:t xml:space="preserve"> say, old sport, I'm awfully sorry, etc., I've shot y</w:t>
      </w:r>
      <w:r w:rsidR="0050032E">
        <w:rPr>
          <w:rFonts w:ascii="Times New Roman" w:hAnsi="Times New Roman" w:cs="Times New Roman"/>
          <w:bCs/>
          <w:sz w:val="24"/>
          <w:szCs w:val="24"/>
        </w:rPr>
        <w:t>our donkey by accident " ? Or "by mistake</w:t>
      </w:r>
      <w:proofErr w:type="gramStart"/>
      <w:r w:rsidRPr="007B57B4">
        <w:rPr>
          <w:rFonts w:ascii="Times New Roman" w:hAnsi="Times New Roman" w:cs="Times New Roman"/>
          <w:bCs/>
          <w:sz w:val="24"/>
          <w:szCs w:val="24"/>
        </w:rPr>
        <w:t>" ?</w:t>
      </w:r>
      <w:proofErr w:type="gramEnd"/>
      <w:r w:rsidRPr="007B57B4">
        <w:rPr>
          <w:rFonts w:ascii="Times New Roman" w:hAnsi="Times New Roman" w:cs="Times New Roman"/>
          <w:bCs/>
          <w:sz w:val="24"/>
          <w:szCs w:val="24"/>
        </w:rPr>
        <w:t xml:space="preserve"> Then again, I go to shoot my donkey as </w:t>
      </w:r>
      <w:r w:rsidR="0050032E">
        <w:rPr>
          <w:rFonts w:ascii="Times New Roman" w:hAnsi="Times New Roman" w:cs="Times New Roman"/>
          <w:bCs/>
          <w:sz w:val="24"/>
          <w:szCs w:val="24"/>
        </w:rPr>
        <w:t xml:space="preserve">before, draw a bead on it, fire -- </w:t>
      </w:r>
      <w:r w:rsidRPr="007B57B4">
        <w:rPr>
          <w:rFonts w:ascii="Times New Roman" w:hAnsi="Times New Roman" w:cs="Times New Roman"/>
          <w:bCs/>
          <w:sz w:val="24"/>
          <w:szCs w:val="24"/>
        </w:rPr>
        <w:t>but as I do so, the beasts move, and to my horror yours falls. Again the scene o</w:t>
      </w:r>
      <w:r w:rsidR="0050032E">
        <w:rPr>
          <w:rFonts w:ascii="Times New Roman" w:hAnsi="Times New Roman" w:cs="Times New Roman"/>
          <w:bCs/>
          <w:sz w:val="24"/>
          <w:szCs w:val="24"/>
        </w:rPr>
        <w:t xml:space="preserve">n the doorstep-what do I say? </w:t>
      </w:r>
      <w:proofErr w:type="gramStart"/>
      <w:r w:rsidR="0050032E">
        <w:rPr>
          <w:rFonts w:ascii="Times New Roman" w:hAnsi="Times New Roman" w:cs="Times New Roman"/>
          <w:bCs/>
          <w:sz w:val="24"/>
          <w:szCs w:val="24"/>
        </w:rPr>
        <w:t>"By mistake"?</w:t>
      </w:r>
      <w:proofErr w:type="gramEnd"/>
      <w:r w:rsidR="0050032E">
        <w:rPr>
          <w:rFonts w:ascii="Times New Roman" w:hAnsi="Times New Roman" w:cs="Times New Roman"/>
          <w:bCs/>
          <w:sz w:val="24"/>
          <w:szCs w:val="24"/>
        </w:rPr>
        <w:t xml:space="preserve"> </w:t>
      </w:r>
      <w:proofErr w:type="gramStart"/>
      <w:r w:rsidR="0050032E">
        <w:rPr>
          <w:rFonts w:ascii="Times New Roman" w:hAnsi="Times New Roman" w:cs="Times New Roman"/>
          <w:bCs/>
          <w:sz w:val="24"/>
          <w:szCs w:val="24"/>
        </w:rPr>
        <w:t>Or "by accident"</w:t>
      </w:r>
      <w:r w:rsidRPr="007B57B4">
        <w:rPr>
          <w:rFonts w:ascii="Times New Roman" w:hAnsi="Times New Roman" w:cs="Times New Roman"/>
          <w:bCs/>
          <w:sz w:val="24"/>
          <w:szCs w:val="24"/>
        </w:rPr>
        <w:t>?</w:t>
      </w:r>
      <w:proofErr w:type="gramEnd"/>
    </w:p>
  </w:footnote>
  <w:footnote w:id="5">
    <w:p w:rsidR="007B57B4" w:rsidRDefault="007B57B4">
      <w:pPr>
        <w:pStyle w:val="FootnoteText"/>
      </w:pPr>
      <w:r>
        <w:rPr>
          <w:rStyle w:val="FootnoteReference"/>
        </w:rPr>
        <w:footnoteRef/>
      </w:r>
      <w:r>
        <w:t xml:space="preserve"> </w:t>
      </w:r>
      <w:r w:rsidRPr="007B57B4">
        <w:rPr>
          <w:rFonts w:ascii="Times New Roman" w:hAnsi="Times New Roman" w:cs="Times New Roman"/>
          <w:sz w:val="24"/>
          <w:szCs w:val="24"/>
        </w:rPr>
        <w:t>And forget, for once and for a while, that othe</w:t>
      </w:r>
      <w:r w:rsidR="0050032E">
        <w:rPr>
          <w:rFonts w:ascii="Times New Roman" w:hAnsi="Times New Roman" w:cs="Times New Roman"/>
          <w:sz w:val="24"/>
          <w:szCs w:val="24"/>
        </w:rPr>
        <w:t xml:space="preserve">r curious question, "Is it </w:t>
      </w:r>
      <w:bookmarkStart w:id="0" w:name="_GoBack"/>
      <w:bookmarkEnd w:id="0"/>
      <w:r w:rsidR="0050032E">
        <w:rPr>
          <w:rFonts w:ascii="Times New Roman" w:hAnsi="Times New Roman" w:cs="Times New Roman"/>
          <w:sz w:val="24"/>
          <w:szCs w:val="24"/>
        </w:rPr>
        <w:t>true?". May we</w:t>
      </w:r>
      <w:r w:rsidRPr="007B57B4">
        <w:rPr>
          <w:rFonts w:ascii="Times New Roman" w:hAnsi="Times New Roman" w:cs="Times New Roman"/>
          <w:sz w:val="24"/>
          <w:szCs w:val="24"/>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477D"/>
    <w:rsid w:val="0021477D"/>
    <w:rsid w:val="003C1D29"/>
    <w:rsid w:val="0050032E"/>
    <w:rsid w:val="00717CE0"/>
    <w:rsid w:val="007B57B4"/>
    <w:rsid w:val="008E5708"/>
    <w:rsid w:val="00B23629"/>
    <w:rsid w:val="00CD4F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1477D"/>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21477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1477D"/>
    <w:rPr>
      <w:sz w:val="20"/>
      <w:szCs w:val="20"/>
    </w:rPr>
  </w:style>
  <w:style w:type="character" w:styleId="FootnoteReference">
    <w:name w:val="footnote reference"/>
    <w:basedOn w:val="DefaultParagraphFont"/>
    <w:uiPriority w:val="99"/>
    <w:semiHidden/>
    <w:unhideWhenUsed/>
    <w:rsid w:val="0021477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1477D"/>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21477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1477D"/>
    <w:rPr>
      <w:sz w:val="20"/>
      <w:szCs w:val="20"/>
    </w:rPr>
  </w:style>
  <w:style w:type="character" w:styleId="FootnoteReference">
    <w:name w:val="footnote reference"/>
    <w:basedOn w:val="DefaultParagraphFont"/>
    <w:uiPriority w:val="99"/>
    <w:semiHidden/>
    <w:unhideWhenUsed/>
    <w:rsid w:val="002147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B987D3-A608-43A0-B7EA-BDD117450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5</Pages>
  <Words>2390</Words>
  <Characters>13623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Metropolitan State University</Company>
  <LinksUpToDate>false</LinksUpToDate>
  <CharactersWithSpaces>15982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Atchison</dc:creator>
  <cp:lastModifiedBy>Thomas Atchison</cp:lastModifiedBy>
  <cp:revision>1</cp:revision>
  <dcterms:created xsi:type="dcterms:W3CDTF">2014-03-10T06:01:00Z</dcterms:created>
  <dcterms:modified xsi:type="dcterms:W3CDTF">2014-03-10T06:45:00Z</dcterms:modified>
</cp:coreProperties>
</file>